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...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الرسل</w:t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١-٢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6"/>
        <w:gridCol w:w="3098"/>
        <w:gridCol w:w="5101"/>
        <w:gridCol w:w="2685"/>
        <w:tblGridChange w:id="0">
          <w:tblGrid>
            <w:gridCol w:w="3626"/>
            <w:gridCol w:w="3098"/>
            <w:gridCol w:w="5101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صديقك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التوصل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- 1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-2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يقتدي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عليهما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حياته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1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2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3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4 )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3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الامانه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والصورة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الثانيه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الصدق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والصورة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الثانيه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خلالها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الانتقال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توصلت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معتى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ويتم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الموجود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107 </w:t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وأيضا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ثانيا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110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الايات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المذكورة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موسى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بنات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شعيب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الصفتان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اللتان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اتصف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موسى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هاتين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الصفتين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الصفتين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السابقتين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حياتك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2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3"/>
        <w:gridCol w:w="3629"/>
        <w:gridCol w:w="3629"/>
        <w:gridCol w:w="3629"/>
        <w:tblGridChange w:id="0">
          <w:tblGrid>
            <w:gridCol w:w="3633"/>
            <w:gridCol w:w="3629"/>
            <w:gridCol w:w="3629"/>
            <w:gridCol w:w="36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بأكلون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ويشربون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ويتزوجون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وينامون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ويمرضون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يتصفون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بصفة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الصدق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..........................</w:t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81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الدروس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استفدتها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موسى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الفتاتان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2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5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؟؟؟ </w:t>
            </w:r>
          </w:p>
          <w:p w:rsidR="00000000" w:rsidDel="00000000" w:rsidP="00000000" w:rsidRDefault="00000000" w:rsidRPr="00000000" w14:paraId="00000086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D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الصدق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والامانه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والعصمة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والصبر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تعتبر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................................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الوقوع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المعاصي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,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مرجعة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اتصافهم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الامانه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الفطنه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العصمة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الصدق</w:t>
            </w:r>
          </w:p>
          <w:p w:rsidR="00000000" w:rsidDel="00000000" w:rsidP="00000000" w:rsidRDefault="00000000" w:rsidRPr="00000000" w14:paraId="0000009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البيتي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A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A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-292731</wp:posOffset>
          </wp:positionV>
          <wp:extent cx="1270000" cy="74231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-254630</wp:posOffset>
          </wp:positionV>
          <wp:extent cx="850900" cy="521335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4dfAqetEY1IS2+a0HTp6/FHo/w==">AMUW2mXk98e1guCHMVvc5buxMVWyj+qJ+f2z00K59AOjKGeC7VHgALRyz82JJBMeIWuNpKVHH1o6EbMaqe4vNfKoPtiDZWr0AP5UclZmNJMF0p2Ap/hVXyg6PmKwPzapZr5XYlDzDQ3w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