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05"/>
          <w:tab w:val="center" w:pos="5255"/>
        </w:tabs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7799705</wp:posOffset>
            </wp:positionH>
            <wp:positionV relativeFrom="paragraph">
              <wp:posOffset>34925</wp:posOffset>
            </wp:positionV>
            <wp:extent cx="1269365" cy="54991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549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259080</wp:posOffset>
            </wp:positionH>
            <wp:positionV relativeFrom="paragraph">
              <wp:posOffset>40005</wp:posOffset>
            </wp:positionV>
            <wp:extent cx="850900" cy="55245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1259205</wp:posOffset>
            </wp:positionH>
            <wp:positionV relativeFrom="paragraph">
              <wp:posOffset>59056</wp:posOffset>
            </wp:positionV>
            <wp:extent cx="1600200" cy="495300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1605"/>
          <w:tab w:val="center" w:pos="5255"/>
        </w:tabs>
        <w:ind w:firstLine="72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605"/>
          <w:tab w:val="center" w:pos="5255"/>
        </w:tabs>
        <w:jc w:val="right"/>
        <w:rPr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: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تحضير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2021/2022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</w:t>
      </w:r>
    </w:p>
    <w:tbl>
      <w:tblPr>
        <w:tblStyle w:val="Table1"/>
        <w:bidiVisual w:val="1"/>
        <w:tblW w:w="14696.0" w:type="dxa"/>
        <w:jc w:val="left"/>
        <w:tblInd w:w="-10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9"/>
        <w:gridCol w:w="1524"/>
        <w:gridCol w:w="1607"/>
        <w:gridCol w:w="1607"/>
        <w:gridCol w:w="1607"/>
        <w:gridCol w:w="1608"/>
        <w:gridCol w:w="1608"/>
        <w:gridCol w:w="1608"/>
        <w:gridCol w:w="1608"/>
        <w:tblGridChange w:id="0">
          <w:tblGrid>
            <w:gridCol w:w="1919"/>
            <w:gridCol w:w="1524"/>
            <w:gridCol w:w="1607"/>
            <w:gridCol w:w="1607"/>
            <w:gridCol w:w="1607"/>
            <w:gridCol w:w="1608"/>
            <w:gridCol w:w="1608"/>
            <w:gridCol w:w="1608"/>
            <w:gridCol w:w="1608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المزمل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( 20 )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3740"/>
        <w:gridCol w:w="4635"/>
        <w:gridCol w:w="2658"/>
        <w:tblGridChange w:id="0">
          <w:tblGrid>
            <w:gridCol w:w="3663"/>
            <w:gridCol w:w="3740"/>
            <w:gridCol w:w="4635"/>
            <w:gridCol w:w="2658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يصليها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المفروضة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وبين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1"/>
              </w:rPr>
              <w:t xml:space="preserve">أوقاتها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0000"/>
                <w:sz w:val="28"/>
                <w:szCs w:val="28"/>
                <w:rtl w:val="0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right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right"/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538135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(20 )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مراعيا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والتراكيب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ترشد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6-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التقرب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بنوافل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5591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5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( 7 )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باللعب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بالأقران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8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7" w:right="0" w:firstLine="0"/>
              <w:jc w:val="righ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singl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الركن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أركان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الإنصات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بعدها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يعيد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والتصويب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الصعبة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معناها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الإجمالي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للآية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الميسر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3/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5/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1"/>
              </w:rPr>
              <w:t xml:space="preserve">النوافل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مقاطع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يوتيوب</w:t>
            </w:r>
          </w:p>
          <w:p w:rsidR="00000000" w:rsidDel="00000000" w:rsidP="00000000" w:rsidRDefault="00000000" w:rsidRPr="00000000" w14:paraId="0000005B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3: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D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الصور</w:t>
            </w:r>
          </w:p>
          <w:p w:rsidR="00000000" w:rsidDel="00000000" w:rsidP="00000000" w:rsidRDefault="00000000" w:rsidRPr="00000000" w14:paraId="0000005F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7"/>
        <w:gridCol w:w="3437"/>
        <w:gridCol w:w="3776"/>
        <w:gridCol w:w="3876"/>
        <w:tblGridChange w:id="0">
          <w:tblGrid>
            <w:gridCol w:w="3607"/>
            <w:gridCol w:w="3437"/>
            <w:gridCol w:w="3776"/>
            <w:gridCol w:w="3876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right"/>
              <w:rPr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( 20 )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B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أدنى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طائفة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يبتغون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70c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525252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E">
            <w:pPr>
              <w:rPr>
                <w:rFonts w:ascii="Sakkal Majalla" w:cs="Sakkal Majalla" w:eastAsia="Sakkal Majalla" w:hAnsi="Sakkal Majalla"/>
                <w:b w:val="1"/>
                <w:color w:val="52525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الأمور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ترشد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525252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72">
            <w:pPr>
              <w:jc w:val="right"/>
              <w:rPr>
                <w:color w:val="c559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النوافل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b05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؟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rPr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jc w:val="right"/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(20 )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المزمل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0"/>
              </w:rPr>
              <w:t xml:space="preserve"> ؟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عظيم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بتعاليمه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10" w:right="0" w:hanging="360"/>
              <w:jc w:val="both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يضاعف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الأجر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7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hanging="36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.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ff33cc"/>
                <w:sz w:val="28"/>
                <w:szCs w:val="28"/>
              </w:rPr>
            </w:pPr>
            <w:r w:rsidDel="00000000" w:rsidR="00000000" w:rsidRPr="00000000">
              <w:rPr>
                <w:color w:val="ff33cc"/>
                <w:sz w:val="28"/>
                <w:szCs w:val="28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4472c4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8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94">
      <w:pPr>
        <w:tabs>
          <w:tab w:val="left" w:pos="5295"/>
        </w:tabs>
        <w:jc w:val="righ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41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