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للمدارس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.....................................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:  .........................................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rFonts w:ascii="Calibri" w:cs="Calibri" w:eastAsia="Calibri" w:hAnsi="Calibri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تحضير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....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الإسلامية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.............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2021/2022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م</w:t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1"/>
        <w:gridCol w:w="2693"/>
        <w:gridCol w:w="6376"/>
        <w:tblGridChange w:id="0">
          <w:tblGrid>
            <w:gridCol w:w="5491"/>
            <w:gridCol w:w="2693"/>
            <w:gridCol w:w="6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الثانية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المريض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1559"/>
        <w:gridCol w:w="2695"/>
        <w:gridCol w:w="1388"/>
        <w:gridCol w:w="2132"/>
        <w:gridCol w:w="2132"/>
        <w:gridCol w:w="2132"/>
        <w:tblGridChange w:id="0">
          <w:tblGrid>
            <w:gridCol w:w="2522"/>
            <w:gridCol w:w="1559"/>
            <w:gridCol w:w="2695"/>
            <w:gridCol w:w="1388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0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21"/>
        <w:gridCol w:w="3581"/>
        <w:gridCol w:w="4622"/>
        <w:gridCol w:w="2176"/>
        <w:tblGridChange w:id="0">
          <w:tblGrid>
            <w:gridCol w:w="4221"/>
            <w:gridCol w:w="3581"/>
            <w:gridCol w:w="4622"/>
            <w:gridCol w:w="21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فيديو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وآدابها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ــة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</w:rPr>
              <w:drawing>
                <wp:inline distB="0" distT="0" distL="0" distR="0">
                  <wp:extent cx="2524477" cy="292458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29245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3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الذهني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تنبأ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فسر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لاحظ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5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(7)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القياس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3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4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الذهنية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4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2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باللعب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الأدوار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4    )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وآدابها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للحديث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تصحيح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الأخطاء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أستنتج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أستنتج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فضل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نستنتج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وأطبق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فيديو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..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جهاز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عرض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5"/>
        <w:gridCol w:w="3827"/>
        <w:gridCol w:w="3261"/>
        <w:gridCol w:w="3397"/>
        <w:tblGridChange w:id="0">
          <w:tblGrid>
            <w:gridCol w:w="4055"/>
            <w:gridCol w:w="3827"/>
            <w:gridCol w:w="3261"/>
            <w:gridCol w:w="3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إثرائي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تفريد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حق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علينا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  ..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المقصود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بعبارة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الزيارة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داء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ودواء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)؟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استنتج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الحديث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الشريف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فضل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  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بعضا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فوائد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..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إثرائي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زملائي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90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فضل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علاجي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eko" w:cs="Teko" w:eastAsia="Teko" w:hAnsi="Teko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×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آداب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الإطالة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eko" w:cs="Teko" w:eastAsia="Teko" w:hAnsi="Teko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ينبغي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تداوم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فضل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firstLine="0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ذهبت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صديقك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ورأيته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مريض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فينبغي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عليك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تخفف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زيارتك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1"/>
              </w:rPr>
              <w:t xml:space="preserve">  (   )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رابعا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،،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،،،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التربوي</w:t>
      </w:r>
    </w:p>
    <w:sectPr>
      <w:headerReference r:id="rId7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eko"/>
  <w:font w:name="Noto Sans Symbols"/>
  <w:font w:name="Courier New"/>
  <w:font w:name="Sakkal Majall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4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